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r>
        <w:rPr>
          <w:rFonts w:hint="eastAsia" w:ascii="华文中宋" w:hAnsi="华文中宋" w:eastAsia="华文中宋" w:cs="宋体"/>
          <w:b/>
          <w:kern w:val="0"/>
          <w:sz w:val="52"/>
          <w:szCs w:val="52"/>
        </w:rPr>
        <w:t>新疆财政支出绩效自评报告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560" w:lineRule="exact"/>
        <w:ind w:firstLine="72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项目名称：双语教师跟班住校经费项目    </w:t>
      </w:r>
    </w:p>
    <w:p>
      <w:pPr>
        <w:spacing w:line="560" w:lineRule="exact"/>
        <w:ind w:firstLine="72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实施单位（公章）：新疆维吾尔自治区喀什地区教育局</w:t>
      </w:r>
    </w:p>
    <w:p>
      <w:pPr>
        <w:spacing w:line="560" w:lineRule="exact"/>
        <w:ind w:firstLine="755" w:firstLineChars="236"/>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自治区主管部门（公章）：</w:t>
      </w:r>
    </w:p>
    <w:p>
      <w:pPr>
        <w:spacing w:line="560" w:lineRule="exact"/>
        <w:ind w:firstLine="755" w:firstLineChars="236"/>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项目负责人（签章）：杨启辉</w:t>
      </w:r>
    </w:p>
    <w:p>
      <w:pPr>
        <w:spacing w:line="560" w:lineRule="exact"/>
        <w:ind w:firstLine="755" w:firstLineChars="236"/>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填报时间：2018年12月 24日</w:t>
      </w: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560" w:lineRule="exact"/>
        <w:ind w:firstLine="640"/>
        <w:rPr>
          <w:rStyle w:val="19"/>
          <w:rFonts w:ascii="黑体" w:hAnsi="黑体" w:eastAsia="黑体"/>
          <w:bCs w:val="0"/>
          <w:spacing w:val="-4"/>
          <w:sz w:val="32"/>
          <w:szCs w:val="32"/>
        </w:rPr>
      </w:pPr>
    </w:p>
    <w:p>
      <w:pPr>
        <w:spacing w:line="560" w:lineRule="exact"/>
        <w:ind w:firstLine="640"/>
        <w:rPr>
          <w:rStyle w:val="19"/>
          <w:rFonts w:ascii="黑体" w:hAnsi="黑体" w:eastAsia="黑体"/>
          <w:b w:val="0"/>
          <w:spacing w:val="-4"/>
          <w:sz w:val="32"/>
          <w:szCs w:val="32"/>
        </w:rPr>
        <w:sectPr>
          <w:pgSz w:w="11906" w:h="16838"/>
          <w:pgMar w:top="1440" w:right="1800" w:bottom="1440" w:left="1800" w:header="851" w:footer="992" w:gutter="0"/>
          <w:cols w:space="425" w:num="1"/>
          <w:docGrid w:type="lines" w:linePitch="312" w:charSpace="0"/>
        </w:sectPr>
      </w:pPr>
    </w:p>
    <w:p>
      <w:pPr>
        <w:spacing w:line="560" w:lineRule="exact"/>
        <w:ind w:firstLine="640"/>
        <w:rPr>
          <w:rStyle w:val="19"/>
          <w:rFonts w:ascii="黑体" w:hAnsi="黑体" w:eastAsia="黑体"/>
          <w:bCs w:val="0"/>
          <w:spacing w:val="-4"/>
          <w:sz w:val="32"/>
          <w:szCs w:val="32"/>
        </w:rPr>
      </w:pPr>
      <w:r>
        <w:rPr>
          <w:rStyle w:val="19"/>
          <w:rFonts w:hint="eastAsia" w:ascii="黑体" w:hAnsi="黑体" w:eastAsia="黑体"/>
          <w:b w:val="0"/>
          <w:spacing w:val="-4"/>
          <w:sz w:val="32"/>
          <w:szCs w:val="32"/>
        </w:rPr>
        <w:t>一、项目概况</w:t>
      </w:r>
    </w:p>
    <w:p>
      <w:pPr>
        <w:spacing w:line="560" w:lineRule="exact"/>
        <w:ind w:firstLine="64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spacing w:line="56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新疆维吾尔自治区喀什地区教育局师资培训管理中心主要负责：中小学幼儿园教师的培训工作，主办教师资格认定工作，做好教师继续教育工作。</w:t>
      </w:r>
    </w:p>
    <w:p>
      <w:pPr>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（二）项目预算绩效目标设定情况</w:t>
      </w:r>
    </w:p>
    <w:p>
      <w:pPr>
        <w:spacing w:line="560" w:lineRule="exact"/>
        <w:ind w:firstLine="640"/>
        <w:rPr>
          <w:rStyle w:val="19"/>
          <w:rFonts w:ascii="楷体_GB2312" w:hAnsi="楷体_GB2312" w:eastAsia="楷体_GB2312" w:cs="楷体_GB2312"/>
          <w:bCs w:val="0"/>
          <w:spacing w:val="-4"/>
          <w:sz w:val="32"/>
          <w:szCs w:val="32"/>
        </w:rPr>
      </w:pPr>
      <w:r>
        <w:rPr>
          <w:rStyle w:val="19"/>
          <w:rFonts w:hint="eastAsia" w:ascii="楷体_GB2312" w:hAnsi="楷体_GB2312" w:eastAsia="楷体_GB2312" w:cs="楷体_GB2312"/>
          <w:bCs w:val="0"/>
          <w:spacing w:val="-4"/>
          <w:sz w:val="32"/>
          <w:szCs w:val="32"/>
        </w:rPr>
        <w:t>1、项目预期目标及阶段性目标</w:t>
      </w:r>
    </w:p>
    <w:p>
      <w:pPr>
        <w:spacing w:line="56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本项目主要通过强化培训，使参训教师在政治素质、教师素养，教育教学和专业发展能力等方面明显提高，为全区学前和中小学全面推进国家通用语言文字授课提供合格的师资储备。通过强化培训，使参训教师在政治素质、教师素养，教育教学和专业发展能力等方面明显提高，为全区学前和中小学全面推进国家通用语言文字授课提供合格的师资储备。中小学幼儿园教师一年制培训人数275人；中小学幼儿园教师送教下乡培训人数1895人；中小学幼儿园骨干教师培训人数304人；中小学少数民族教师培训结业率99%；进一步加强中小学幼儿园教师师资队伍建设，提升教师综合素质能力；参训教师满意率大于95%。</w:t>
      </w:r>
    </w:p>
    <w:p>
      <w:pPr>
        <w:spacing w:line="560" w:lineRule="exact"/>
        <w:ind w:firstLine="640"/>
        <w:rPr>
          <w:rStyle w:val="19"/>
          <w:rFonts w:ascii="楷体_GB2312" w:hAnsi="楷体_GB2312" w:eastAsia="楷体_GB2312" w:cs="楷体_GB2312"/>
          <w:bCs w:val="0"/>
          <w:spacing w:val="-4"/>
          <w:sz w:val="32"/>
          <w:szCs w:val="32"/>
        </w:rPr>
      </w:pPr>
      <w:r>
        <w:rPr>
          <w:rStyle w:val="19"/>
          <w:rFonts w:hint="eastAsia" w:ascii="楷体_GB2312" w:hAnsi="楷体_GB2312" w:eastAsia="楷体_GB2312" w:cs="楷体_GB2312"/>
          <w:bCs w:val="0"/>
          <w:spacing w:val="-4"/>
          <w:sz w:val="32"/>
          <w:szCs w:val="32"/>
        </w:rPr>
        <w:t>2、项目基本性质</w:t>
      </w:r>
    </w:p>
    <w:p>
      <w:pPr>
        <w:spacing w:line="56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本项目性质为延续性项目。</w:t>
      </w:r>
    </w:p>
    <w:p>
      <w:pPr>
        <w:spacing w:line="560" w:lineRule="exact"/>
        <w:ind w:firstLine="640"/>
        <w:rPr>
          <w:rStyle w:val="19"/>
          <w:rFonts w:ascii="楷体_GB2312" w:hAnsi="楷体_GB2312" w:eastAsia="楷体_GB2312" w:cs="楷体_GB2312"/>
          <w:bCs w:val="0"/>
          <w:spacing w:val="-4"/>
          <w:sz w:val="32"/>
          <w:szCs w:val="32"/>
        </w:rPr>
      </w:pPr>
      <w:r>
        <w:rPr>
          <w:rStyle w:val="19"/>
          <w:rFonts w:hint="eastAsia" w:ascii="楷体_GB2312" w:hAnsi="楷体_GB2312" w:eastAsia="楷体_GB2312" w:cs="楷体_GB2312"/>
          <w:bCs w:val="0"/>
          <w:spacing w:val="-4"/>
          <w:sz w:val="32"/>
          <w:szCs w:val="32"/>
        </w:rPr>
        <w:t>3、项目用途及范围</w:t>
      </w:r>
    </w:p>
    <w:p>
      <w:pPr>
        <w:spacing w:line="560" w:lineRule="exact"/>
        <w:ind w:firstLine="640"/>
        <w:rPr>
          <w:rStyle w:val="19"/>
          <w:rFonts w:ascii="仿宋" w:hAnsi="仿宋" w:eastAsia="仿宋"/>
          <w:b w:val="0"/>
          <w:spacing w:val="-4"/>
          <w:sz w:val="32"/>
          <w:szCs w:val="32"/>
        </w:rPr>
      </w:pPr>
      <w:r>
        <w:rPr>
          <w:rStyle w:val="19"/>
          <w:rFonts w:hint="eastAsia" w:ascii="仿宋_GB2312" w:hAnsi="仿宋_GB2312" w:eastAsia="仿宋_GB2312" w:cs="仿宋_GB2312"/>
          <w:b w:val="0"/>
          <w:spacing w:val="-4"/>
          <w:sz w:val="32"/>
          <w:szCs w:val="32"/>
        </w:rPr>
        <w:t>本项目资金用途主要用于发放教师培训经费及培训结业考核。</w:t>
      </w:r>
    </w:p>
    <w:p>
      <w:pPr>
        <w:adjustRightInd w:val="0"/>
        <w:snapToGrid w:val="0"/>
        <w:spacing w:line="560" w:lineRule="exact"/>
        <w:ind w:firstLine="624" w:firstLineChars="200"/>
        <w:outlineLvl w:val="0"/>
        <w:rPr>
          <w:rStyle w:val="19"/>
          <w:rFonts w:ascii="黑体" w:hAnsi="黑体" w:eastAsia="黑体"/>
          <w:bCs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spacing w:line="560" w:lineRule="exact"/>
        <w:ind w:firstLine="640" w:firstLineChars="200"/>
        <w:rPr>
          <w:rStyle w:val="19"/>
          <w:rFonts w:ascii="仿宋_GB2312" w:hAnsi="仿宋_GB2312" w:eastAsia="仿宋_GB2312" w:cs="仿宋_GB2312"/>
          <w:b w:val="0"/>
          <w:spacing w:val="-4"/>
          <w:sz w:val="32"/>
          <w:szCs w:val="32"/>
        </w:rPr>
      </w:pPr>
      <w:r>
        <w:rPr>
          <w:rFonts w:hint="eastAsia" w:ascii="仿宋_GB2312" w:hAnsi="仿宋_GB2312" w:eastAsia="仿宋_GB2312" w:cs="仿宋_GB2312"/>
          <w:kern w:val="0"/>
          <w:sz w:val="32"/>
          <w:szCs w:val="32"/>
        </w:rPr>
        <w:t>双语教师跟班住校经费项目</w:t>
      </w:r>
      <w:r>
        <w:rPr>
          <w:rStyle w:val="19"/>
          <w:rFonts w:hint="eastAsia" w:ascii="仿宋_GB2312" w:hAnsi="仿宋_GB2312" w:eastAsia="仿宋_GB2312" w:cs="仿宋_GB2312"/>
          <w:b w:val="0"/>
          <w:spacing w:val="-4"/>
          <w:sz w:val="32"/>
          <w:szCs w:val="32"/>
        </w:rPr>
        <w:t>预算总额为599.6万元，财政资金599.6万元，2018年实际收到预算资金597.1万元。</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spacing w:line="56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本项目实际支付资金597.1万元，预算执行率99.6％，项目资金主要用于支付教师培训费594.4万元，一年制培训项目结业考核费用2.7万元，结余2.6万元结业考核费用。</w:t>
      </w:r>
    </w:p>
    <w:p>
      <w:pPr>
        <w:spacing w:line="560" w:lineRule="exact"/>
        <w:ind w:firstLine="761" w:firstLineChars="243"/>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spacing w:line="560" w:lineRule="exact"/>
        <w:ind w:firstLine="640"/>
        <w:rPr>
          <w:rStyle w:val="19"/>
          <w:rFonts w:ascii="仿宋" w:hAnsi="仿宋" w:eastAsia="仿宋"/>
          <w:b w:val="0"/>
          <w:spacing w:val="-4"/>
          <w:sz w:val="32"/>
          <w:szCs w:val="32"/>
        </w:rPr>
      </w:pPr>
      <w:r>
        <w:rPr>
          <w:rStyle w:val="19"/>
          <w:rFonts w:hint="eastAsia" w:ascii="仿宋_GB2312" w:hAnsi="仿宋_GB2312" w:eastAsia="仿宋_GB2312" w:cs="仿宋_GB2312"/>
          <w:b w:val="0"/>
          <w:spacing w:val="-4"/>
          <w:sz w:val="32"/>
          <w:szCs w:val="32"/>
        </w:rPr>
        <w:t>本项目支出符合喀什地区教育局相关财务管理制度，财务牵制制度、会计主管岗位职责等制度规定，资金的拨付有完整的审批程序和手续，不存在截留、挤占、挪用等情况。</w:t>
      </w:r>
    </w:p>
    <w:p>
      <w:pPr>
        <w:spacing w:line="560" w:lineRule="exact"/>
        <w:ind w:firstLine="640"/>
        <w:rPr>
          <w:rStyle w:val="19"/>
          <w:rFonts w:ascii="黑体" w:hAnsi="黑体" w:eastAsia="黑体"/>
          <w:bCs w:val="0"/>
          <w:spacing w:val="-4"/>
          <w:sz w:val="32"/>
          <w:szCs w:val="32"/>
        </w:rPr>
      </w:pPr>
      <w:r>
        <w:rPr>
          <w:rStyle w:val="19"/>
          <w:rFonts w:hint="eastAsia" w:ascii="黑体" w:hAnsi="黑体" w:eastAsia="黑体"/>
          <w:b w:val="0"/>
          <w:spacing w:val="-4"/>
          <w:sz w:val="32"/>
          <w:szCs w:val="32"/>
        </w:rPr>
        <w:t>三、项目组织实施情况</w:t>
      </w:r>
    </w:p>
    <w:p>
      <w:pPr>
        <w:spacing w:line="560" w:lineRule="exact"/>
        <w:ind w:firstLine="761" w:firstLineChars="243"/>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spacing w:line="56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喀什地区教育局作为项目主管部门，对2018年第二期《新疆中小学少数民族培训工程》项目全面履行监管责任：一是及时制定资金拨付预算，确保按支付专款专用；二是及时拨付资金，加强资金使用监管；三是督促并协助提高保障经费使用质量。</w:t>
      </w:r>
    </w:p>
    <w:p>
      <w:pPr>
        <w:spacing w:line="560" w:lineRule="exact"/>
        <w:ind w:firstLine="761" w:firstLineChars="243"/>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spacing w:line="56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根据中央和自治区专项资金管理办法的要求，教育局严格按照项目资金规定的专项资金支持的项目条件和范围要求，严格按照有关规定使用管理专项资金。</w:t>
      </w:r>
    </w:p>
    <w:p>
      <w:pPr>
        <w:spacing w:line="56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 xml:space="preserve">四、项目绩效情况 </w:t>
      </w:r>
    </w:p>
    <w:p>
      <w:pPr>
        <w:spacing w:line="560" w:lineRule="exact"/>
        <w:ind w:firstLine="761" w:firstLineChars="243"/>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本项目共设置一级指标3个，二级指标9个，三级指标1</w:t>
      </w:r>
      <w:r>
        <w:rPr>
          <w:rFonts w:hint="eastAsia" w:ascii="仿宋_GB2312" w:hAnsi="仿宋_GB2312" w:eastAsia="仿宋_GB2312" w:cs="仿宋_GB2312"/>
          <w:bCs/>
          <w:sz w:val="32"/>
          <w:szCs w:val="32"/>
          <w:lang w:val="en-US" w:eastAsia="zh-CN"/>
        </w:rPr>
        <w:t>3</w:t>
      </w:r>
      <w:r>
        <w:rPr>
          <w:rFonts w:hint="eastAsia" w:ascii="仿宋_GB2312" w:hAnsi="仿宋_GB2312" w:eastAsia="仿宋_GB2312" w:cs="仿宋_GB2312"/>
          <w:bCs/>
          <w:sz w:val="32"/>
          <w:szCs w:val="32"/>
        </w:rPr>
        <w:t>个，其中已完成三级指标</w:t>
      </w:r>
      <w:r>
        <w:rPr>
          <w:rFonts w:hint="eastAsia" w:ascii="仿宋_GB2312" w:hAnsi="仿宋_GB2312" w:eastAsia="仿宋_GB2312" w:cs="仿宋_GB2312"/>
          <w:bCs/>
          <w:sz w:val="32"/>
          <w:szCs w:val="32"/>
          <w:lang w:val="en-US" w:eastAsia="zh-CN"/>
        </w:rPr>
        <w:t>12</w:t>
      </w:r>
      <w:r>
        <w:rPr>
          <w:rFonts w:hint="eastAsia" w:ascii="仿宋_GB2312" w:hAnsi="仿宋_GB2312" w:eastAsia="仿宋_GB2312" w:cs="仿宋_GB2312"/>
          <w:bCs/>
          <w:sz w:val="32"/>
          <w:szCs w:val="32"/>
        </w:rPr>
        <w:t>个，指标完成率为</w:t>
      </w:r>
      <w:r>
        <w:rPr>
          <w:rFonts w:hint="eastAsia" w:ascii="仿宋_GB2312" w:hAnsi="仿宋_GB2312" w:eastAsia="仿宋_GB2312" w:cs="仿宋_GB2312"/>
          <w:bCs/>
          <w:sz w:val="32"/>
          <w:szCs w:val="32"/>
          <w:lang w:val="en-US" w:eastAsia="zh-CN"/>
        </w:rPr>
        <w:t>92.3</w:t>
      </w:r>
      <w:r>
        <w:rPr>
          <w:rFonts w:hint="eastAsia" w:ascii="仿宋_GB2312" w:hAnsi="仿宋_GB2312" w:eastAsia="仿宋_GB2312" w:cs="仿宋_GB2312"/>
          <w:bCs/>
          <w:sz w:val="32"/>
          <w:szCs w:val="32"/>
        </w:rPr>
        <w:t>%。</w:t>
      </w:r>
    </w:p>
    <w:p>
      <w:pPr>
        <w:adjustRightInd w:val="0"/>
        <w:snapToGrid w:val="0"/>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效率性：本项目</w:t>
      </w:r>
      <w:r>
        <w:rPr>
          <w:rFonts w:hint="eastAsia" w:ascii="仿宋_GB2312" w:hAnsi="仿宋_GB2312" w:eastAsia="仿宋_GB2312" w:cs="仿宋_GB2312"/>
          <w:kern w:val="0"/>
          <w:sz w:val="32"/>
          <w:szCs w:val="32"/>
        </w:rPr>
        <w:t>双语教师跟班住校经费项目</w:t>
      </w:r>
      <w:r>
        <w:rPr>
          <w:rFonts w:hint="eastAsia" w:ascii="仿宋_GB2312" w:hAnsi="仿宋_GB2312" w:eastAsia="仿宋_GB2312" w:cs="仿宋_GB2312"/>
          <w:bCs/>
          <w:sz w:val="32"/>
          <w:szCs w:val="32"/>
          <w:lang w:val="en-US" w:eastAsia="zh-CN"/>
        </w:rPr>
        <w:t>有结余资金</w:t>
      </w:r>
      <w:r>
        <w:rPr>
          <w:rFonts w:hint="eastAsia" w:ascii="仿宋_GB2312" w:hAnsi="仿宋_GB2312" w:eastAsia="仿宋_GB2312" w:cs="仿宋_GB2312"/>
          <w:bCs/>
          <w:sz w:val="32"/>
          <w:szCs w:val="32"/>
        </w:rPr>
        <w:t>，资金支付率为</w:t>
      </w:r>
      <w:r>
        <w:rPr>
          <w:rFonts w:hint="eastAsia" w:ascii="仿宋_GB2312" w:hAnsi="仿宋_GB2312" w:eastAsia="仿宋_GB2312" w:cs="仿宋_GB2312"/>
          <w:bCs/>
          <w:sz w:val="32"/>
          <w:szCs w:val="32"/>
          <w:lang w:val="en-US" w:eastAsia="zh-CN"/>
        </w:rPr>
        <w:t>99.58</w:t>
      </w:r>
      <w:r>
        <w:rPr>
          <w:rFonts w:hint="eastAsia" w:ascii="仿宋_GB2312" w:hAnsi="仿宋_GB2312" w:eastAsia="仿宋_GB2312" w:cs="仿宋_GB2312"/>
          <w:bCs/>
          <w:sz w:val="32"/>
          <w:szCs w:val="32"/>
        </w:rPr>
        <w:t>%。</w:t>
      </w:r>
    </w:p>
    <w:p>
      <w:pPr>
        <w:adjustRightInd w:val="0"/>
        <w:snapToGrid w:val="0"/>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效益性：</w:t>
      </w:r>
      <w:r>
        <w:rPr>
          <w:rFonts w:hint="eastAsia" w:ascii="仿宋_GB2312" w:hAnsi="仿宋_GB2312" w:eastAsia="仿宋_GB2312" w:cs="仿宋_GB2312"/>
          <w:kern w:val="0"/>
          <w:sz w:val="32"/>
          <w:szCs w:val="32"/>
        </w:rPr>
        <w:t>双语教师跟班住校</w:t>
      </w:r>
      <w:r>
        <w:rPr>
          <w:rFonts w:hint="eastAsia" w:ascii="仿宋_GB2312" w:hAnsi="仿宋_GB2312" w:eastAsia="仿宋_GB2312" w:cs="仿宋_GB2312"/>
          <w:bCs/>
          <w:sz w:val="32"/>
          <w:szCs w:val="32"/>
        </w:rPr>
        <w:t>工作全部完成，为全区学前和中小学全面推进国家通用语言文字授课提供合格的师资储备。</w:t>
      </w:r>
    </w:p>
    <w:p>
      <w:pPr>
        <w:spacing w:line="560" w:lineRule="exact"/>
        <w:ind w:firstLine="758" w:firstLineChars="242"/>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60" w:lineRule="exact"/>
        <w:ind w:firstLine="640"/>
        <w:rPr>
          <w:rStyle w:val="19"/>
          <w:rFonts w:hint="eastAsia" w:ascii="仿宋_GB2312" w:hAnsi="仿宋_GB2312" w:eastAsia="仿宋_GB2312" w:cs="仿宋_GB2312"/>
          <w:b w:val="0"/>
          <w:bCs w:val="0"/>
          <w:spacing w:val="-4"/>
          <w:sz w:val="32"/>
          <w:szCs w:val="32"/>
          <w:lang w:val="en-US" w:eastAsia="zh-CN"/>
        </w:rPr>
      </w:pPr>
      <w:r>
        <w:rPr>
          <w:rStyle w:val="19"/>
          <w:rFonts w:hint="eastAsia" w:ascii="仿宋_GB2312" w:hAnsi="仿宋_GB2312" w:eastAsia="仿宋_GB2312" w:cs="仿宋_GB2312"/>
          <w:b w:val="0"/>
          <w:bCs w:val="0"/>
          <w:spacing w:val="-4"/>
          <w:sz w:val="32"/>
          <w:szCs w:val="32"/>
          <w:lang w:val="en-US" w:eastAsia="zh-CN"/>
        </w:rPr>
        <w:t>本项目绩效目标有未完成项目，</w:t>
      </w:r>
      <w:r>
        <w:rPr>
          <w:rFonts w:hint="eastAsia" w:ascii="仿宋_GB2312" w:hAnsi="仿宋_GB2312" w:eastAsia="仿宋_GB2312" w:cs="仿宋_GB2312"/>
          <w:kern w:val="0"/>
          <w:sz w:val="32"/>
          <w:szCs w:val="32"/>
        </w:rPr>
        <w:t>双语教师跟班住校经费项目</w:t>
      </w:r>
      <w:r>
        <w:rPr>
          <w:rFonts w:hint="eastAsia" w:ascii="仿宋_GB2312" w:hAnsi="仿宋_GB2312" w:eastAsia="仿宋_GB2312" w:cs="仿宋_GB2312"/>
          <w:kern w:val="0"/>
          <w:sz w:val="32"/>
          <w:szCs w:val="32"/>
          <w:lang w:val="en-US" w:eastAsia="zh-CN"/>
        </w:rPr>
        <w:t>有结转资金</w:t>
      </w:r>
      <w:bookmarkStart w:id="0" w:name="_GoBack"/>
      <w:bookmarkEnd w:id="0"/>
      <w:r>
        <w:rPr>
          <w:rStyle w:val="19"/>
          <w:rFonts w:hint="eastAsia" w:ascii="仿宋_GB2312" w:hAnsi="仿宋_GB2312" w:eastAsia="仿宋_GB2312" w:cs="仿宋_GB2312"/>
          <w:b w:val="0"/>
          <w:bCs w:val="0"/>
          <w:spacing w:val="-4"/>
          <w:sz w:val="32"/>
          <w:szCs w:val="32"/>
          <w:lang w:val="en-US" w:eastAsia="zh-CN"/>
        </w:rPr>
        <w:t>。</w:t>
      </w:r>
    </w:p>
    <w:p>
      <w:pPr>
        <w:spacing w:line="560" w:lineRule="exact"/>
        <w:ind w:firstLine="640"/>
        <w:rPr>
          <w:rStyle w:val="19"/>
          <w:rFonts w:ascii="黑体" w:hAnsi="黑体" w:eastAsia="黑体"/>
          <w:bCs w:val="0"/>
          <w:spacing w:val="-4"/>
          <w:sz w:val="32"/>
          <w:szCs w:val="32"/>
        </w:rPr>
      </w:pPr>
      <w:r>
        <w:rPr>
          <w:rStyle w:val="19"/>
          <w:rFonts w:hint="eastAsia" w:ascii="黑体" w:hAnsi="黑体" w:eastAsia="黑体"/>
          <w:b w:val="0"/>
          <w:spacing w:val="-4"/>
          <w:sz w:val="32"/>
          <w:szCs w:val="32"/>
        </w:rPr>
        <w:t>五、其他需要说明的问题</w:t>
      </w:r>
    </w:p>
    <w:p>
      <w:pPr>
        <w:spacing w:line="560" w:lineRule="exact"/>
        <w:ind w:firstLine="758" w:firstLineChars="242"/>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6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地区将进一步加强对参训教师的监管工作，使参训教师在政治素质、教师素养，教育教学和专业发展能力等方面明显提高，为全区学前和中小学全面推进国家通用语言文字授课提供合格的师资储备。</w:t>
      </w:r>
    </w:p>
    <w:p>
      <w:pPr>
        <w:spacing w:line="560" w:lineRule="exact"/>
        <w:ind w:firstLine="758" w:firstLineChars="242"/>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60" w:lineRule="exact"/>
        <w:ind w:firstLine="640"/>
        <w:rPr>
          <w:rStyle w:val="19"/>
          <w:rFonts w:ascii="楷体_GB2312" w:hAnsi="楷体_GB2312" w:eastAsia="楷体_GB2312" w:cs="楷体_GB2312"/>
          <w:bCs w:val="0"/>
          <w:spacing w:val="-4"/>
          <w:sz w:val="32"/>
          <w:szCs w:val="32"/>
        </w:rPr>
      </w:pPr>
      <w:r>
        <w:rPr>
          <w:rStyle w:val="19"/>
          <w:rFonts w:hint="eastAsia" w:ascii="楷体_GB2312" w:hAnsi="楷体_GB2312" w:eastAsia="楷体_GB2312" w:cs="楷体_GB2312"/>
          <w:bCs w:val="0"/>
          <w:spacing w:val="-4"/>
          <w:sz w:val="32"/>
          <w:szCs w:val="32"/>
        </w:rPr>
        <w:t>1、主要经验及做法</w:t>
      </w:r>
    </w:p>
    <w:p>
      <w:pPr>
        <w:spacing w:line="56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本项目主要通过中长期强化培训和送教培训，使参训教师在政治素质、教师素养，教育教学和专业发展能力等方面明显提高，为全区学前和中小学全面推进国家通用语言文字授课提供合格的师资储备。</w:t>
      </w:r>
    </w:p>
    <w:p>
      <w:pPr>
        <w:spacing w:line="560" w:lineRule="exact"/>
        <w:ind w:firstLine="640"/>
        <w:rPr>
          <w:rStyle w:val="19"/>
          <w:rFonts w:ascii="楷体_GB2312" w:hAnsi="楷体_GB2312" w:eastAsia="楷体_GB2312" w:cs="楷体_GB2312"/>
          <w:bCs w:val="0"/>
          <w:spacing w:val="-4"/>
          <w:sz w:val="32"/>
          <w:szCs w:val="32"/>
        </w:rPr>
      </w:pPr>
      <w:r>
        <w:rPr>
          <w:rStyle w:val="19"/>
          <w:rFonts w:hint="eastAsia" w:ascii="楷体_GB2312" w:hAnsi="楷体_GB2312" w:eastAsia="楷体_GB2312" w:cs="楷体_GB2312"/>
          <w:bCs w:val="0"/>
          <w:spacing w:val="-4"/>
          <w:sz w:val="32"/>
          <w:szCs w:val="32"/>
        </w:rPr>
        <w:t>2、存在问题：</w:t>
      </w:r>
    </w:p>
    <w:p>
      <w:pPr>
        <w:spacing w:line="560" w:lineRule="exact"/>
        <w:ind w:firstLine="624" w:firstLineChars="200"/>
        <w:rPr>
          <w:rStyle w:val="19"/>
          <w:rFonts w:ascii="仿宋" w:hAnsi="仿宋" w:eastAsia="仿宋"/>
          <w:bCs w:val="0"/>
          <w:spacing w:val="-4"/>
          <w:sz w:val="32"/>
          <w:szCs w:val="32"/>
        </w:rPr>
      </w:pPr>
      <w:r>
        <w:rPr>
          <w:rStyle w:val="19"/>
          <w:rFonts w:hint="eastAsia" w:ascii="仿宋_GB2312" w:hAnsi="仿宋_GB2312" w:eastAsia="仿宋_GB2312" w:cs="仿宋_GB2312"/>
          <w:b w:val="0"/>
          <w:spacing w:val="-4"/>
          <w:sz w:val="32"/>
          <w:szCs w:val="32"/>
        </w:rPr>
        <w:t>无</w:t>
      </w:r>
    </w:p>
    <w:p>
      <w:pPr>
        <w:spacing w:line="560" w:lineRule="exact"/>
        <w:ind w:firstLine="640"/>
        <w:rPr>
          <w:rStyle w:val="19"/>
          <w:rFonts w:ascii="楷体_GB2312" w:hAnsi="楷体_GB2312" w:eastAsia="楷体_GB2312" w:cs="楷体_GB2312"/>
          <w:bCs w:val="0"/>
          <w:spacing w:val="-4"/>
          <w:sz w:val="32"/>
          <w:szCs w:val="32"/>
        </w:rPr>
      </w:pPr>
      <w:r>
        <w:rPr>
          <w:rStyle w:val="19"/>
          <w:rFonts w:hint="eastAsia" w:ascii="楷体_GB2312" w:hAnsi="楷体_GB2312" w:eastAsia="楷体_GB2312" w:cs="楷体_GB2312"/>
          <w:bCs w:val="0"/>
          <w:spacing w:val="-4"/>
          <w:sz w:val="32"/>
          <w:szCs w:val="32"/>
        </w:rPr>
        <w:t>3、建议：</w:t>
      </w:r>
    </w:p>
    <w:p>
      <w:pPr>
        <w:spacing w:line="560" w:lineRule="exact"/>
        <w:ind w:left="640"/>
        <w:rPr>
          <w:rStyle w:val="19"/>
          <w:rFonts w:ascii="仿宋" w:hAnsi="仿宋" w:eastAsia="仿宋"/>
          <w:bCs w:val="0"/>
          <w:spacing w:val="-4"/>
          <w:sz w:val="32"/>
          <w:szCs w:val="32"/>
        </w:rPr>
      </w:pPr>
      <w:r>
        <w:rPr>
          <w:rStyle w:val="19"/>
          <w:rFonts w:hint="eastAsia" w:ascii="仿宋_GB2312" w:hAnsi="仿宋_GB2312" w:eastAsia="仿宋_GB2312" w:cs="仿宋_GB2312"/>
          <w:b w:val="0"/>
          <w:spacing w:val="-4"/>
          <w:sz w:val="32"/>
          <w:szCs w:val="32"/>
        </w:rPr>
        <w:t>无</w:t>
      </w:r>
    </w:p>
    <w:p>
      <w:pPr>
        <w:spacing w:line="560" w:lineRule="exact"/>
        <w:ind w:firstLine="758" w:firstLineChars="242"/>
        <w:rPr>
          <w:rFonts w:ascii="楷体" w:hAnsi="楷体" w:eastAsia="楷体"/>
          <w:b/>
          <w:spacing w:val="-4"/>
          <w:sz w:val="32"/>
          <w:szCs w:val="32"/>
        </w:rPr>
      </w:pPr>
      <w:r>
        <w:rPr>
          <w:rFonts w:hint="eastAsia" w:ascii="楷体" w:hAnsi="楷体" w:eastAsia="楷体"/>
          <w:b/>
          <w:spacing w:val="-4"/>
          <w:sz w:val="32"/>
          <w:szCs w:val="32"/>
        </w:rPr>
        <w:t>（三）其他</w:t>
      </w:r>
    </w:p>
    <w:p>
      <w:pPr>
        <w:spacing w:line="560" w:lineRule="exact"/>
        <w:ind w:firstLine="640"/>
        <w:rPr>
          <w:rStyle w:val="19"/>
          <w:rFonts w:ascii="仿宋" w:hAnsi="仿宋" w:eastAsia="仿宋"/>
          <w:b w:val="0"/>
          <w:spacing w:val="-4"/>
          <w:sz w:val="32"/>
          <w:szCs w:val="32"/>
        </w:rPr>
      </w:pPr>
      <w:r>
        <w:rPr>
          <w:rStyle w:val="19"/>
          <w:rFonts w:hint="eastAsia" w:ascii="仿宋_GB2312" w:hAnsi="仿宋_GB2312" w:eastAsia="仿宋_GB2312" w:cs="仿宋_GB2312"/>
          <w:b w:val="0"/>
          <w:spacing w:val="-4"/>
          <w:sz w:val="32"/>
          <w:szCs w:val="32"/>
        </w:rPr>
        <w:t>无其他说明内容</w:t>
      </w:r>
    </w:p>
    <w:p>
      <w:pPr>
        <w:spacing w:line="56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六、项目评价工作情况</w:t>
      </w:r>
    </w:p>
    <w:p>
      <w:pPr>
        <w:spacing w:line="56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本次评价通过数据对比、抽查等方式，全面了解本项目资金的使用效率和效果，项目管理过程是否规范，完成了预期绩效目标等。同时，通过开展自我评价来总结经验和教训，为喀什地区少数民族教师培训今后的开展提供参考建议。</w:t>
      </w:r>
    </w:p>
    <w:p>
      <w:pPr>
        <w:spacing w:line="56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spacing w:line="56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《项目支出绩效目标自评表》</w:t>
      </w: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1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12457D"/>
    <w:rsid w:val="00371EBE"/>
    <w:rsid w:val="005162F1"/>
    <w:rsid w:val="00535153"/>
    <w:rsid w:val="00604A25"/>
    <w:rsid w:val="00855E3A"/>
    <w:rsid w:val="0091588F"/>
    <w:rsid w:val="00921A82"/>
    <w:rsid w:val="00922CB9"/>
    <w:rsid w:val="00961CB9"/>
    <w:rsid w:val="009C0C77"/>
    <w:rsid w:val="00A26421"/>
    <w:rsid w:val="00A4293B"/>
    <w:rsid w:val="00B41F61"/>
    <w:rsid w:val="00B660EF"/>
    <w:rsid w:val="00C56C72"/>
    <w:rsid w:val="00CA6457"/>
    <w:rsid w:val="00D17F2E"/>
    <w:rsid w:val="00E769FE"/>
    <w:rsid w:val="00EA2CBE"/>
    <w:rsid w:val="00F32FEE"/>
    <w:rsid w:val="041166FE"/>
    <w:rsid w:val="07C12B69"/>
    <w:rsid w:val="098F5404"/>
    <w:rsid w:val="0F0959A7"/>
    <w:rsid w:val="0FAD654D"/>
    <w:rsid w:val="17FF5C91"/>
    <w:rsid w:val="1D1C3C8B"/>
    <w:rsid w:val="23BC3EAE"/>
    <w:rsid w:val="23C379EE"/>
    <w:rsid w:val="240C5B65"/>
    <w:rsid w:val="26501B75"/>
    <w:rsid w:val="27B70A50"/>
    <w:rsid w:val="27DC7DAD"/>
    <w:rsid w:val="280A25D1"/>
    <w:rsid w:val="2A4026FD"/>
    <w:rsid w:val="32444FF2"/>
    <w:rsid w:val="371E16B2"/>
    <w:rsid w:val="3ACA1E7F"/>
    <w:rsid w:val="3B421C04"/>
    <w:rsid w:val="3BE56563"/>
    <w:rsid w:val="43E70839"/>
    <w:rsid w:val="4A833814"/>
    <w:rsid w:val="4AC96DF1"/>
    <w:rsid w:val="4B16695E"/>
    <w:rsid w:val="4F370BAF"/>
    <w:rsid w:val="50045952"/>
    <w:rsid w:val="549E2544"/>
    <w:rsid w:val="57856A51"/>
    <w:rsid w:val="57EA7F35"/>
    <w:rsid w:val="58900C68"/>
    <w:rsid w:val="5FB23705"/>
    <w:rsid w:val="639C3F6E"/>
    <w:rsid w:val="63D86131"/>
    <w:rsid w:val="6D3D7900"/>
    <w:rsid w:val="791D4DF1"/>
    <w:rsid w:val="7B7C2B8E"/>
    <w:rsid w:val="7F27162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ocked="1"/>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99"/>
    <w:pPr>
      <w:keepNext/>
      <w:widowControl/>
      <w:spacing w:before="240" w:after="60"/>
      <w:jc w:val="left"/>
      <w:outlineLvl w:val="0"/>
    </w:pPr>
    <w:rPr>
      <w:rFonts w:ascii="Cambria" w:hAnsi="Cambria"/>
      <w:b/>
      <w:bCs/>
      <w:kern w:val="32"/>
      <w:sz w:val="32"/>
      <w:szCs w:val="32"/>
    </w:rPr>
  </w:style>
  <w:style w:type="paragraph" w:styleId="3">
    <w:name w:val="heading 2"/>
    <w:basedOn w:val="1"/>
    <w:next w:val="1"/>
    <w:link w:val="24"/>
    <w:qFormat/>
    <w:uiPriority w:val="99"/>
    <w:pPr>
      <w:keepNext/>
      <w:widowControl/>
      <w:spacing w:before="240" w:after="60"/>
      <w:jc w:val="left"/>
      <w:outlineLvl w:val="1"/>
    </w:pPr>
    <w:rPr>
      <w:rFonts w:ascii="Cambria" w:hAnsi="Cambria"/>
      <w:b/>
      <w:bCs/>
      <w:i/>
      <w:iCs/>
      <w:kern w:val="0"/>
      <w:sz w:val="28"/>
      <w:szCs w:val="28"/>
    </w:rPr>
  </w:style>
  <w:style w:type="paragraph" w:styleId="4">
    <w:name w:val="heading 3"/>
    <w:basedOn w:val="1"/>
    <w:next w:val="1"/>
    <w:link w:val="25"/>
    <w:qFormat/>
    <w:uiPriority w:val="99"/>
    <w:pPr>
      <w:keepNext/>
      <w:widowControl/>
      <w:spacing w:before="240" w:after="60"/>
      <w:jc w:val="left"/>
      <w:outlineLvl w:val="2"/>
    </w:pPr>
    <w:rPr>
      <w:rFonts w:ascii="Cambria" w:hAnsi="Cambria"/>
      <w:b/>
      <w:bCs/>
      <w:kern w:val="0"/>
      <w:sz w:val="26"/>
      <w:szCs w:val="26"/>
    </w:rPr>
  </w:style>
  <w:style w:type="paragraph" w:styleId="5">
    <w:name w:val="heading 4"/>
    <w:basedOn w:val="1"/>
    <w:next w:val="1"/>
    <w:link w:val="26"/>
    <w:qFormat/>
    <w:uiPriority w:val="99"/>
    <w:pPr>
      <w:keepNext/>
      <w:widowControl/>
      <w:spacing w:before="240" w:after="60"/>
      <w:jc w:val="left"/>
      <w:outlineLvl w:val="3"/>
    </w:pPr>
    <w:rPr>
      <w:rFonts w:ascii="Calibri" w:hAnsi="Calibri"/>
      <w:b/>
      <w:bCs/>
      <w:kern w:val="0"/>
      <w:sz w:val="28"/>
      <w:szCs w:val="28"/>
    </w:rPr>
  </w:style>
  <w:style w:type="paragraph" w:styleId="6">
    <w:name w:val="heading 5"/>
    <w:basedOn w:val="1"/>
    <w:next w:val="1"/>
    <w:link w:val="27"/>
    <w:qFormat/>
    <w:uiPriority w:val="99"/>
    <w:pPr>
      <w:widowControl/>
      <w:spacing w:before="240" w:after="60"/>
      <w:jc w:val="left"/>
      <w:outlineLvl w:val="4"/>
    </w:pPr>
    <w:rPr>
      <w:rFonts w:ascii="Calibri" w:hAnsi="Calibri"/>
      <w:b/>
      <w:bCs/>
      <w:i/>
      <w:iCs/>
      <w:kern w:val="0"/>
      <w:sz w:val="26"/>
      <w:szCs w:val="26"/>
    </w:rPr>
  </w:style>
  <w:style w:type="paragraph" w:styleId="7">
    <w:name w:val="heading 6"/>
    <w:basedOn w:val="1"/>
    <w:next w:val="1"/>
    <w:link w:val="28"/>
    <w:qFormat/>
    <w:uiPriority w:val="99"/>
    <w:pPr>
      <w:widowControl/>
      <w:spacing w:before="240" w:after="60"/>
      <w:jc w:val="left"/>
      <w:outlineLvl w:val="5"/>
    </w:pPr>
    <w:rPr>
      <w:rFonts w:ascii="Calibri" w:hAnsi="Calibri"/>
      <w:b/>
      <w:bCs/>
      <w:kern w:val="0"/>
      <w:sz w:val="22"/>
      <w:szCs w:val="22"/>
    </w:rPr>
  </w:style>
  <w:style w:type="paragraph" w:styleId="8">
    <w:name w:val="heading 7"/>
    <w:basedOn w:val="1"/>
    <w:next w:val="1"/>
    <w:link w:val="29"/>
    <w:qFormat/>
    <w:uiPriority w:val="99"/>
    <w:pPr>
      <w:widowControl/>
      <w:spacing w:before="240" w:after="60"/>
      <w:jc w:val="left"/>
      <w:outlineLvl w:val="6"/>
    </w:pPr>
    <w:rPr>
      <w:rFonts w:ascii="Calibri" w:hAnsi="Calibri"/>
      <w:kern w:val="0"/>
      <w:sz w:val="24"/>
    </w:rPr>
  </w:style>
  <w:style w:type="paragraph" w:styleId="9">
    <w:name w:val="heading 8"/>
    <w:basedOn w:val="1"/>
    <w:next w:val="1"/>
    <w:link w:val="30"/>
    <w:qFormat/>
    <w:uiPriority w:val="99"/>
    <w:pPr>
      <w:widowControl/>
      <w:spacing w:before="240" w:after="60"/>
      <w:jc w:val="left"/>
      <w:outlineLvl w:val="7"/>
    </w:pPr>
    <w:rPr>
      <w:rFonts w:ascii="Calibri" w:hAnsi="Calibri"/>
      <w:i/>
      <w:iCs/>
      <w:kern w:val="0"/>
      <w:sz w:val="24"/>
    </w:rPr>
  </w:style>
  <w:style w:type="paragraph" w:styleId="10">
    <w:name w:val="heading 9"/>
    <w:basedOn w:val="1"/>
    <w:next w:val="1"/>
    <w:link w:val="31"/>
    <w:qFormat/>
    <w:uiPriority w:val="99"/>
    <w:pPr>
      <w:widowControl/>
      <w:spacing w:before="240" w:after="60"/>
      <w:jc w:val="left"/>
      <w:outlineLvl w:val="8"/>
    </w:pPr>
    <w:rPr>
      <w:rFonts w:ascii="Cambria" w:hAnsi="Cambria"/>
      <w:kern w:val="0"/>
      <w:sz w:val="22"/>
      <w:szCs w:val="22"/>
    </w:rPr>
  </w:style>
  <w:style w:type="character" w:default="1" w:styleId="18">
    <w:name w:val="Default Paragraph Font"/>
    <w:semiHidden/>
    <w:unhideWhenUsed/>
    <w:uiPriority w:val="1"/>
  </w:style>
  <w:style w:type="table" w:default="1" w:styleId="22">
    <w:name w:val="Normal Table"/>
    <w:semiHidden/>
    <w:unhideWhenUsed/>
    <w:uiPriority w:val="99"/>
    <w:tblPr>
      <w:tblLayout w:type="fixed"/>
      <w:tblCellMar>
        <w:top w:w="0" w:type="dxa"/>
        <w:left w:w="108" w:type="dxa"/>
        <w:bottom w:w="0" w:type="dxa"/>
        <w:right w:w="108" w:type="dxa"/>
      </w:tblCellMar>
    </w:tblPr>
  </w:style>
  <w:style w:type="paragraph" w:styleId="11">
    <w:name w:val="annotation subject"/>
    <w:basedOn w:val="12"/>
    <w:next w:val="12"/>
    <w:link w:val="49"/>
    <w:semiHidden/>
    <w:unhideWhenUsed/>
    <w:qFormat/>
    <w:uiPriority w:val="99"/>
    <w:rPr>
      <w:b/>
      <w:bCs/>
    </w:rPr>
  </w:style>
  <w:style w:type="paragraph" w:styleId="12">
    <w:name w:val="annotation text"/>
    <w:basedOn w:val="1"/>
    <w:link w:val="48"/>
    <w:semiHidden/>
    <w:unhideWhenUsed/>
    <w:qFormat/>
    <w:uiPriority w:val="99"/>
    <w:pPr>
      <w:jc w:val="left"/>
    </w:pPr>
  </w:style>
  <w:style w:type="paragraph" w:styleId="13">
    <w:name w:val="Balloon Text"/>
    <w:basedOn w:val="1"/>
    <w:link w:val="50"/>
    <w:semiHidden/>
    <w:unhideWhenUsed/>
    <w:qFormat/>
    <w:uiPriority w:val="99"/>
    <w:rPr>
      <w:sz w:val="18"/>
      <w:szCs w:val="18"/>
    </w:rPr>
  </w:style>
  <w:style w:type="paragraph" w:styleId="14">
    <w:name w:val="footer"/>
    <w:basedOn w:val="1"/>
    <w:link w:val="47"/>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6"/>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3"/>
    <w:qFormat/>
    <w:uiPriority w:val="99"/>
    <w:pPr>
      <w:widowControl/>
      <w:spacing w:after="60"/>
      <w:jc w:val="center"/>
      <w:outlineLvl w:val="1"/>
    </w:pPr>
    <w:rPr>
      <w:rFonts w:ascii="Cambria" w:hAnsi="Cambria"/>
      <w:kern w:val="0"/>
      <w:sz w:val="24"/>
    </w:rPr>
  </w:style>
  <w:style w:type="paragraph" w:styleId="17">
    <w:name w:val="Title"/>
    <w:basedOn w:val="1"/>
    <w:next w:val="1"/>
    <w:link w:val="32"/>
    <w:qFormat/>
    <w:uiPriority w:val="99"/>
    <w:pPr>
      <w:widowControl/>
      <w:spacing w:before="240" w:after="60"/>
      <w:jc w:val="center"/>
      <w:outlineLvl w:val="0"/>
    </w:pPr>
    <w:rPr>
      <w:rFonts w:ascii="Cambria" w:hAnsi="Cambria"/>
      <w:b/>
      <w:bCs/>
      <w:kern w:val="28"/>
      <w:sz w:val="32"/>
      <w:szCs w:val="32"/>
    </w:rPr>
  </w:style>
  <w:style w:type="character" w:styleId="19">
    <w:name w:val="Strong"/>
    <w:basedOn w:val="18"/>
    <w:qFormat/>
    <w:uiPriority w:val="99"/>
    <w:rPr>
      <w:rFonts w:cs="Times New Roman"/>
      <w:b/>
      <w:bCs/>
    </w:rPr>
  </w:style>
  <w:style w:type="character" w:styleId="20">
    <w:name w:val="Emphasis"/>
    <w:basedOn w:val="18"/>
    <w:qFormat/>
    <w:uiPriority w:val="99"/>
    <w:rPr>
      <w:rFonts w:ascii="Calibri" w:hAnsi="Calibri" w:cs="Times New Roman"/>
      <w:b/>
      <w:i/>
      <w:iCs/>
    </w:rPr>
  </w:style>
  <w:style w:type="character" w:styleId="21">
    <w:name w:val="annotation reference"/>
    <w:basedOn w:val="18"/>
    <w:semiHidden/>
    <w:unhideWhenUsed/>
    <w:qFormat/>
    <w:uiPriority w:val="99"/>
    <w:rPr>
      <w:sz w:val="21"/>
      <w:szCs w:val="21"/>
    </w:rPr>
  </w:style>
  <w:style w:type="character" w:customStyle="1" w:styleId="23">
    <w:name w:val="标题 1 字符"/>
    <w:basedOn w:val="18"/>
    <w:link w:val="2"/>
    <w:qFormat/>
    <w:locked/>
    <w:uiPriority w:val="99"/>
    <w:rPr>
      <w:rFonts w:ascii="Cambria" w:hAnsi="Cambria" w:eastAsia="宋体" w:cs="Times New Roman"/>
      <w:b/>
      <w:bCs/>
      <w:kern w:val="32"/>
      <w:sz w:val="32"/>
      <w:szCs w:val="32"/>
    </w:rPr>
  </w:style>
  <w:style w:type="character" w:customStyle="1" w:styleId="24">
    <w:name w:val="标题 2 字符"/>
    <w:basedOn w:val="18"/>
    <w:link w:val="3"/>
    <w:semiHidden/>
    <w:qFormat/>
    <w:locked/>
    <w:uiPriority w:val="99"/>
    <w:rPr>
      <w:rFonts w:ascii="Cambria" w:hAnsi="Cambria" w:eastAsia="宋体" w:cs="Times New Roman"/>
      <w:b/>
      <w:bCs/>
      <w:i/>
      <w:iCs/>
      <w:sz w:val="28"/>
      <w:szCs w:val="28"/>
    </w:rPr>
  </w:style>
  <w:style w:type="character" w:customStyle="1" w:styleId="25">
    <w:name w:val="标题 3 字符"/>
    <w:basedOn w:val="18"/>
    <w:link w:val="4"/>
    <w:semiHidden/>
    <w:qFormat/>
    <w:locked/>
    <w:uiPriority w:val="99"/>
    <w:rPr>
      <w:rFonts w:ascii="Cambria" w:hAnsi="Cambria" w:eastAsia="宋体" w:cs="Times New Roman"/>
      <w:b/>
      <w:bCs/>
      <w:sz w:val="26"/>
      <w:szCs w:val="26"/>
    </w:rPr>
  </w:style>
  <w:style w:type="character" w:customStyle="1" w:styleId="26">
    <w:name w:val="标题 4 字符"/>
    <w:basedOn w:val="18"/>
    <w:link w:val="5"/>
    <w:semiHidden/>
    <w:qFormat/>
    <w:locked/>
    <w:uiPriority w:val="99"/>
    <w:rPr>
      <w:rFonts w:cs="Times New Roman"/>
      <w:b/>
      <w:bCs/>
      <w:sz w:val="28"/>
      <w:szCs w:val="28"/>
    </w:rPr>
  </w:style>
  <w:style w:type="character" w:customStyle="1" w:styleId="27">
    <w:name w:val="标题 5 字符"/>
    <w:basedOn w:val="18"/>
    <w:link w:val="6"/>
    <w:semiHidden/>
    <w:qFormat/>
    <w:locked/>
    <w:uiPriority w:val="99"/>
    <w:rPr>
      <w:rFonts w:cs="Times New Roman"/>
      <w:b/>
      <w:bCs/>
      <w:i/>
      <w:iCs/>
      <w:sz w:val="26"/>
      <w:szCs w:val="26"/>
    </w:rPr>
  </w:style>
  <w:style w:type="character" w:customStyle="1" w:styleId="28">
    <w:name w:val="标题 6 字符"/>
    <w:basedOn w:val="18"/>
    <w:link w:val="7"/>
    <w:semiHidden/>
    <w:qFormat/>
    <w:locked/>
    <w:uiPriority w:val="99"/>
    <w:rPr>
      <w:rFonts w:cs="Times New Roman"/>
      <w:b/>
      <w:bCs/>
    </w:rPr>
  </w:style>
  <w:style w:type="character" w:customStyle="1" w:styleId="29">
    <w:name w:val="标题 7 字符"/>
    <w:basedOn w:val="18"/>
    <w:link w:val="8"/>
    <w:semiHidden/>
    <w:qFormat/>
    <w:locked/>
    <w:uiPriority w:val="99"/>
    <w:rPr>
      <w:rFonts w:cs="Times New Roman"/>
      <w:sz w:val="24"/>
      <w:szCs w:val="24"/>
    </w:rPr>
  </w:style>
  <w:style w:type="character" w:customStyle="1" w:styleId="30">
    <w:name w:val="标题 8 字符"/>
    <w:basedOn w:val="18"/>
    <w:link w:val="9"/>
    <w:semiHidden/>
    <w:qFormat/>
    <w:locked/>
    <w:uiPriority w:val="99"/>
    <w:rPr>
      <w:rFonts w:cs="Times New Roman"/>
      <w:i/>
      <w:iCs/>
      <w:sz w:val="24"/>
      <w:szCs w:val="24"/>
    </w:rPr>
  </w:style>
  <w:style w:type="character" w:customStyle="1" w:styleId="31">
    <w:name w:val="标题 9 字符"/>
    <w:basedOn w:val="18"/>
    <w:link w:val="10"/>
    <w:semiHidden/>
    <w:qFormat/>
    <w:locked/>
    <w:uiPriority w:val="99"/>
    <w:rPr>
      <w:rFonts w:ascii="Cambria" w:hAnsi="Cambria" w:eastAsia="宋体" w:cs="Times New Roman"/>
    </w:rPr>
  </w:style>
  <w:style w:type="character" w:customStyle="1" w:styleId="32">
    <w:name w:val="标题 字符"/>
    <w:basedOn w:val="18"/>
    <w:link w:val="17"/>
    <w:qFormat/>
    <w:locked/>
    <w:uiPriority w:val="99"/>
    <w:rPr>
      <w:rFonts w:ascii="Cambria" w:hAnsi="Cambria" w:eastAsia="宋体" w:cs="Times New Roman"/>
      <w:b/>
      <w:bCs/>
      <w:kern w:val="28"/>
      <w:sz w:val="32"/>
      <w:szCs w:val="32"/>
    </w:rPr>
  </w:style>
  <w:style w:type="character" w:customStyle="1" w:styleId="33">
    <w:name w:val="副标题 字符"/>
    <w:basedOn w:val="18"/>
    <w:link w:val="16"/>
    <w:qFormat/>
    <w:locked/>
    <w:uiPriority w:val="99"/>
    <w:rPr>
      <w:rFonts w:ascii="Cambria" w:hAnsi="Cambria" w:eastAsia="宋体" w:cs="Times New Roman"/>
      <w:sz w:val="24"/>
      <w:szCs w:val="24"/>
    </w:rPr>
  </w:style>
  <w:style w:type="paragraph" w:styleId="34">
    <w:name w:val="No Spacing"/>
    <w:basedOn w:val="1"/>
    <w:qFormat/>
    <w:uiPriority w:val="99"/>
    <w:pPr>
      <w:widowControl/>
      <w:jc w:val="left"/>
    </w:pPr>
    <w:rPr>
      <w:rFonts w:ascii="Calibri" w:hAnsi="Calibri"/>
      <w:kern w:val="0"/>
      <w:sz w:val="24"/>
      <w:szCs w:val="32"/>
      <w:lang w:eastAsia="en-US"/>
    </w:rPr>
  </w:style>
  <w:style w:type="paragraph" w:styleId="35">
    <w:name w:val="List Paragraph"/>
    <w:basedOn w:val="1"/>
    <w:qFormat/>
    <w:uiPriority w:val="99"/>
    <w:pPr>
      <w:widowControl/>
      <w:ind w:left="720"/>
      <w:contextualSpacing/>
      <w:jc w:val="left"/>
    </w:pPr>
    <w:rPr>
      <w:rFonts w:ascii="Calibri" w:hAnsi="Calibri"/>
      <w:kern w:val="0"/>
      <w:sz w:val="24"/>
      <w:lang w:eastAsia="en-US"/>
    </w:rPr>
  </w:style>
  <w:style w:type="paragraph" w:styleId="36">
    <w:name w:val="Quote"/>
    <w:basedOn w:val="1"/>
    <w:next w:val="1"/>
    <w:link w:val="37"/>
    <w:qFormat/>
    <w:uiPriority w:val="99"/>
    <w:pPr>
      <w:widowControl/>
      <w:jc w:val="left"/>
    </w:pPr>
    <w:rPr>
      <w:rFonts w:ascii="Calibri" w:hAnsi="Calibri"/>
      <w:i/>
      <w:kern w:val="0"/>
      <w:sz w:val="24"/>
    </w:rPr>
  </w:style>
  <w:style w:type="character" w:customStyle="1" w:styleId="37">
    <w:name w:val="引用 字符"/>
    <w:basedOn w:val="18"/>
    <w:link w:val="36"/>
    <w:qFormat/>
    <w:locked/>
    <w:uiPriority w:val="99"/>
    <w:rPr>
      <w:rFonts w:cs="Times New Roman"/>
      <w:i/>
      <w:sz w:val="24"/>
      <w:szCs w:val="24"/>
    </w:rPr>
  </w:style>
  <w:style w:type="paragraph" w:styleId="38">
    <w:name w:val="Intense Quote"/>
    <w:basedOn w:val="1"/>
    <w:next w:val="1"/>
    <w:link w:val="39"/>
    <w:qFormat/>
    <w:uiPriority w:val="99"/>
    <w:pPr>
      <w:widowControl/>
      <w:ind w:left="720" w:right="720"/>
      <w:jc w:val="left"/>
    </w:pPr>
    <w:rPr>
      <w:rFonts w:ascii="Calibri" w:hAnsi="Calibri"/>
      <w:b/>
      <w:i/>
      <w:kern w:val="0"/>
      <w:sz w:val="24"/>
      <w:szCs w:val="22"/>
    </w:rPr>
  </w:style>
  <w:style w:type="character" w:customStyle="1" w:styleId="39">
    <w:name w:val="明显引用 字符"/>
    <w:basedOn w:val="18"/>
    <w:link w:val="38"/>
    <w:qFormat/>
    <w:locked/>
    <w:uiPriority w:val="99"/>
    <w:rPr>
      <w:rFonts w:cs="Times New Roman"/>
      <w:b/>
      <w:i/>
      <w:sz w:val="24"/>
    </w:rPr>
  </w:style>
  <w:style w:type="character" w:customStyle="1" w:styleId="40">
    <w:name w:val="不明显强调1"/>
    <w:basedOn w:val="18"/>
    <w:qFormat/>
    <w:uiPriority w:val="99"/>
    <w:rPr>
      <w:i/>
      <w:color w:val="5A5A5A"/>
    </w:rPr>
  </w:style>
  <w:style w:type="character" w:customStyle="1" w:styleId="41">
    <w:name w:val="明显强调1"/>
    <w:basedOn w:val="18"/>
    <w:qFormat/>
    <w:uiPriority w:val="99"/>
    <w:rPr>
      <w:rFonts w:cs="Times New Roman"/>
      <w:b/>
      <w:i/>
      <w:sz w:val="24"/>
      <w:szCs w:val="24"/>
      <w:u w:val="single"/>
    </w:rPr>
  </w:style>
  <w:style w:type="character" w:customStyle="1" w:styleId="42">
    <w:name w:val="不明显参考1"/>
    <w:basedOn w:val="18"/>
    <w:qFormat/>
    <w:uiPriority w:val="99"/>
    <w:rPr>
      <w:rFonts w:cs="Times New Roman"/>
      <w:sz w:val="24"/>
      <w:szCs w:val="24"/>
      <w:u w:val="single"/>
    </w:rPr>
  </w:style>
  <w:style w:type="character" w:customStyle="1" w:styleId="43">
    <w:name w:val="明显参考1"/>
    <w:basedOn w:val="18"/>
    <w:qFormat/>
    <w:uiPriority w:val="99"/>
    <w:rPr>
      <w:rFonts w:cs="Times New Roman"/>
      <w:b/>
      <w:sz w:val="24"/>
      <w:u w:val="single"/>
    </w:rPr>
  </w:style>
  <w:style w:type="character" w:customStyle="1" w:styleId="44">
    <w:name w:val="书籍标题1"/>
    <w:basedOn w:val="18"/>
    <w:qFormat/>
    <w:uiPriority w:val="99"/>
    <w:rPr>
      <w:rFonts w:ascii="Cambria" w:hAnsi="Cambria" w:eastAsia="宋体" w:cs="Times New Roman"/>
      <w:b/>
      <w:i/>
      <w:sz w:val="24"/>
      <w:szCs w:val="24"/>
    </w:rPr>
  </w:style>
  <w:style w:type="paragraph" w:customStyle="1" w:styleId="45">
    <w:name w:val="TOC 标题1"/>
    <w:basedOn w:val="2"/>
    <w:next w:val="1"/>
    <w:qFormat/>
    <w:uiPriority w:val="99"/>
    <w:pPr>
      <w:outlineLvl w:val="9"/>
    </w:pPr>
    <w:rPr>
      <w:lang w:eastAsia="en-US"/>
    </w:rPr>
  </w:style>
  <w:style w:type="character" w:customStyle="1" w:styleId="46">
    <w:name w:val="页眉 字符"/>
    <w:basedOn w:val="18"/>
    <w:link w:val="15"/>
    <w:qFormat/>
    <w:locked/>
    <w:uiPriority w:val="99"/>
    <w:rPr>
      <w:rFonts w:ascii="Calibri" w:hAnsi="Calibri" w:eastAsia="宋体" w:cs="Times New Roman"/>
      <w:kern w:val="2"/>
      <w:sz w:val="18"/>
      <w:szCs w:val="18"/>
    </w:rPr>
  </w:style>
  <w:style w:type="character" w:customStyle="1" w:styleId="47">
    <w:name w:val="页脚 字符"/>
    <w:basedOn w:val="18"/>
    <w:link w:val="14"/>
    <w:qFormat/>
    <w:locked/>
    <w:uiPriority w:val="99"/>
    <w:rPr>
      <w:rFonts w:ascii="Calibri" w:hAnsi="Calibri" w:eastAsia="宋体" w:cs="Times New Roman"/>
      <w:kern w:val="2"/>
      <w:sz w:val="18"/>
      <w:szCs w:val="18"/>
    </w:rPr>
  </w:style>
  <w:style w:type="character" w:customStyle="1" w:styleId="48">
    <w:name w:val="批注文字 字符"/>
    <w:basedOn w:val="18"/>
    <w:link w:val="12"/>
    <w:semiHidden/>
    <w:qFormat/>
    <w:uiPriority w:val="99"/>
    <w:rPr>
      <w:rFonts w:ascii="Times New Roman" w:hAnsi="Times New Roman"/>
      <w:kern w:val="2"/>
      <w:sz w:val="21"/>
      <w:szCs w:val="24"/>
    </w:rPr>
  </w:style>
  <w:style w:type="character" w:customStyle="1" w:styleId="49">
    <w:name w:val="批注主题 字符"/>
    <w:basedOn w:val="48"/>
    <w:link w:val="11"/>
    <w:semiHidden/>
    <w:qFormat/>
    <w:uiPriority w:val="99"/>
    <w:rPr>
      <w:rFonts w:ascii="Times New Roman" w:hAnsi="Times New Roman"/>
      <w:b/>
      <w:bCs/>
      <w:kern w:val="2"/>
      <w:sz w:val="21"/>
      <w:szCs w:val="24"/>
    </w:rPr>
  </w:style>
  <w:style w:type="character" w:customStyle="1" w:styleId="50">
    <w:name w:val="批注框文本 字符"/>
    <w:basedOn w:val="18"/>
    <w:link w:val="13"/>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7D6CAD-5DD7-45A2-9632-FA27194FD01C}">
  <ds:schemaRefs/>
</ds:datastoreItem>
</file>

<file path=docProps/app.xml><?xml version="1.0" encoding="utf-8"?>
<Properties xmlns="http://schemas.openxmlformats.org/officeDocument/2006/extended-properties" xmlns:vt="http://schemas.openxmlformats.org/officeDocument/2006/docPropsVTypes">
  <Template>Normal</Template>
  <Pages>5</Pages>
  <Words>242</Words>
  <Characters>1381</Characters>
  <Lines>11</Lines>
  <Paragraphs>3</Paragraphs>
  <TotalTime>0</TotalTime>
  <ScaleCrop>false</ScaleCrop>
  <LinksUpToDate>false</LinksUpToDate>
  <CharactersWithSpaces>1620</CharactersWithSpaces>
  <Application>WPS Office_11.1.0.7949_F1E327BC-269C-435d-A152-05C5408002CA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2018-12-13T12:14:00Z</dcterms:created>
  <dc:creator>赵 恺（预算处）</dc:creator>
  <cp:lastModifiedBy>ahmat</cp:lastModifiedBy>
  <cp:lastPrinted>2018-12-23T09:53:00Z</cp:lastPrinted>
  <dcterms:modified xsi:type="dcterms:W3CDTF">2019-02-21T10:00:23Z</dcterms:modified>
  <dc:title>（参考提纲）</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2052-11.1.0.7949</vt:lpwstr>
  </property>
</Properties>
</file>